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00" w:after="500"/>
        <w:jc w:val="center"/>
        <w:rPr>
          <w:rFonts w:ascii="Times New Roman" w:hAnsi="Times New Roman" w:eastAsia="Times New Roman" w:cs="Times New Roman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rtl w:val="0"/>
        </w:rPr>
        <w:t>Критерії оцінювання навчальних досягнень учнів з інформатики</w:t>
      </w:r>
    </w:p>
    <w:tbl>
      <w:tblPr>
        <w:tblStyle w:val="32"/>
        <w:tblW w:w="9030" w:type="dxa"/>
        <w:tblInd w:w="0" w:type="dxa"/>
        <w:tblBorders>
          <w:top w:val="single" w:color="333333" w:sz="8" w:space="0"/>
          <w:left w:val="single" w:color="333333" w:sz="8" w:space="0"/>
          <w:bottom w:val="single" w:color="333333" w:sz="8" w:space="0"/>
          <w:right w:val="single" w:color="333333" w:sz="8" w:space="0"/>
          <w:insideH w:val="single" w:color="333333" w:sz="8" w:space="0"/>
          <w:insideV w:val="single" w:color="33333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190"/>
        <w:gridCol w:w="975"/>
        <w:gridCol w:w="5865"/>
      </w:tblGrid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70" w:hRule="atLeast"/>
        </w:trPr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Рівні навчальних досягнень учнів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Бали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Критерії оцінювання навчальних досягнень учнів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18" w:hRule="atLeast"/>
        </w:trPr>
        <w:tc>
          <w:tcPr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І. Початковий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розпізнає окремі об'єкти, явища і факти предметної галузі; знає і виконує правила техніки безпеки під час роботи з комп'ютерною технікою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70" w:hRule="atLeast"/>
        </w:trPr>
        <w:tc>
          <w:tcPr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/>
              <w:spacing w:before="300" w:after="30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розпізнає окремі об'єкти, явища і факти предметної галузі та може фрагментарно відтворити знання про них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70" w:hRule="atLeast"/>
        </w:trPr>
        <w:tc>
          <w:tcPr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/>
              <w:spacing w:before="300" w:after="30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має фрагментарні знання при незначному загальному їх обсязі (менше половини навчального матеріалу) при відсутності сформованих умінь та навичок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70" w:hRule="atLeast"/>
        </w:trPr>
        <w:tc>
          <w:tcPr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ІІ. Середній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має початковий рівень знань, значну (більше половини) частину навчального матеріалу може відтворити репродуктивно; може з допомогою вчителя виконати просте навчальне завдання; має елементарні, нестійкі навички роботи на комп'ютері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70" w:hRule="atLeast"/>
        </w:trPr>
        <w:tc>
          <w:tcPr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/>
              <w:spacing w:before="300" w:after="30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має рівень знань вищий, ніж початковий; може з допомогою вчителя відтворити значну частину навчального матеріалу з елементами логічних зв'язків; має стійкі навички виконання елементарних дій з опрацювання даних на комп'ютері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70" w:hRule="atLeast"/>
        </w:trPr>
        <w:tc>
          <w:tcPr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/>
              <w:spacing w:before="300" w:after="30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знайомий з основними поняттями навчального матеріалу;може самостійно відтворити значну частину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комп'ютері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70" w:hRule="atLeast"/>
        </w:trPr>
        <w:tc>
          <w:tcPr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ІІІ. Достатній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вміє застосовувати вивчений матеріал у стандартних ситуаціях; може пояснити основні процеси, що відбуваються під час роботи інформаційної системи та наводити власні приклади на підтвердження деяких тверджень; вміє виконувати навчальні завдання, передбачені програмою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70" w:hRule="atLeast"/>
        </w:trPr>
        <w:tc>
          <w:tcPr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/>
              <w:spacing w:before="300" w:after="30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вміє  аналізувати навчальний матеріал, в цілому самостійно застосовувати його на практиці; контролювати власну діяльність; самостійно виправити вказані вчителем помилки; самостійно визначити спосіб розв'язування навчальної задачі; вміє використовувати довідкову систему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370" w:hRule="atLeast"/>
        </w:trPr>
        <w:tc>
          <w:tcPr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/>
              <w:spacing w:before="300" w:after="30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(учениця):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і виправляє допущені помилки; може аргументовано обрати раціональний спосіб виконання навчального завдання; вільно володіє клавіатурою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655" w:hRule="atLeast"/>
        </w:trPr>
        <w:tc>
          <w:tcPr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IV. Високий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Знання, вміння і навички учня (учениця) повністю відповідають вимогам державної програми. Учень (учениця) 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  використовує їх для реалізації поставлених перед ним навчальних цілей, судження його (її) логічні і достатньо обґрунтовані; має певні навички управління інформаційною системою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955" w:hRule="atLeast"/>
        </w:trPr>
        <w:tc>
          <w:tcPr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/>
              <w:spacing w:before="300" w:after="30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їх відповідно до мети і завдань власної пізнавальної діяльності; використовує набуті знання і вміння у нестандартних ситуаціях; вміє виконувати завдання, не передбачені навчальною програмою; має стійкі навички управління інформаційною системою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70" w:hRule="atLeast"/>
        </w:trPr>
        <w:tc>
          <w:tcPr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/>
              <w:spacing w:before="300" w:after="30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40" w:type="dxa"/>
              <w:left w:w="160" w:type="dxa"/>
              <w:bottom w:w="40" w:type="dxa"/>
              <w:right w:w="160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00" w:after="500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rtl w:val="0"/>
              </w:rPr>
              <w:t>Учень (учениця) має стійкі системні знання та продуктивно їх використовує; вміє вільно використовувати нові інформаційні технології для поповнення власних знань та розв'язування задач; має стійкі навички управління інформаційною системою у нестандартних ситуаціях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0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rtl w:val="0"/>
        </w:rPr>
        <w:t xml:space="preserve"> </w:t>
      </w:r>
    </w:p>
    <w:p>
      <w:pPr>
        <w:widowControl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10" w:h="16840"/>
      <w:pgMar w:top="851" w:right="740" w:bottom="280" w:left="128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etersburg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iosC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FD12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Arial" w:hAnsi="Arial" w:eastAsia="Arial" w:cs="Arial"/>
      <w:sz w:val="22"/>
      <w:szCs w:val="22"/>
      <w:lang w:val="uk-UA" w:eastAsia="uk-UA" w:bidi="uk-UA"/>
    </w:rPr>
  </w:style>
  <w:style w:type="paragraph" w:styleId="2">
    <w:name w:val="heading 1"/>
    <w:next w:val="1"/>
    <w:qFormat/>
    <w:uiPriority w:val="1"/>
    <w:pPr>
      <w:widowControl w:val="0"/>
      <w:ind w:left="730"/>
      <w:jc w:val="center"/>
      <w:outlineLvl w:val="0"/>
    </w:pPr>
    <w:rPr>
      <w:rFonts w:ascii="Arial" w:hAnsi="Arial" w:eastAsia="Arial" w:cs="Arial"/>
      <w:b/>
      <w:bCs/>
      <w:sz w:val="24"/>
      <w:szCs w:val="24"/>
      <w:lang w:val="uk-UA"/>
    </w:rPr>
  </w:style>
  <w:style w:type="paragraph" w:styleId="3">
    <w:name w:val="heading 2"/>
    <w:next w:val="1"/>
    <w:qFormat/>
    <w:uiPriority w:val="0"/>
    <w:pPr>
      <w:keepNext/>
      <w:keepLines/>
      <w:pageBreakBefore w:val="0"/>
      <w:widowControl w:val="0"/>
      <w:spacing w:before="360" w:after="80"/>
    </w:pPr>
    <w:rPr>
      <w:rFonts w:ascii="Arial" w:hAnsi="Arial" w:eastAsia="Arial" w:cs="Arial"/>
      <w:b/>
      <w:sz w:val="36"/>
      <w:szCs w:val="36"/>
      <w:lang w:val="uk-UA"/>
    </w:rPr>
  </w:style>
  <w:style w:type="paragraph" w:styleId="4">
    <w:name w:val="heading 3"/>
    <w:next w:val="1"/>
    <w:qFormat/>
    <w:uiPriority w:val="0"/>
    <w:pPr>
      <w:keepNext/>
      <w:keepLines/>
      <w:pageBreakBefore w:val="0"/>
      <w:widowControl w:val="0"/>
      <w:spacing w:before="280" w:after="80"/>
    </w:pPr>
    <w:rPr>
      <w:rFonts w:ascii="Arial" w:hAnsi="Arial" w:eastAsia="Arial" w:cs="Arial"/>
      <w:b/>
      <w:sz w:val="28"/>
      <w:szCs w:val="28"/>
      <w:lang w:val="uk-UA"/>
    </w:rPr>
  </w:style>
  <w:style w:type="paragraph" w:styleId="5">
    <w:name w:val="heading 4"/>
    <w:next w:val="1"/>
    <w:qFormat/>
    <w:uiPriority w:val="0"/>
    <w:pPr>
      <w:keepNext/>
      <w:keepLines/>
      <w:pageBreakBefore w:val="0"/>
      <w:widowControl w:val="0"/>
      <w:spacing w:before="240" w:after="40"/>
    </w:pPr>
    <w:rPr>
      <w:rFonts w:ascii="Arial" w:hAnsi="Arial" w:eastAsia="Arial" w:cs="Arial"/>
      <w:b/>
      <w:sz w:val="24"/>
      <w:szCs w:val="24"/>
      <w:lang w:val="uk-UA"/>
    </w:rPr>
  </w:style>
  <w:style w:type="paragraph" w:styleId="6">
    <w:name w:val="heading 5"/>
    <w:next w:val="1"/>
    <w:uiPriority w:val="0"/>
    <w:pPr>
      <w:keepNext/>
      <w:keepLines/>
      <w:pageBreakBefore w:val="0"/>
      <w:widowControl w:val="0"/>
      <w:spacing w:before="220" w:after="40"/>
    </w:pPr>
    <w:rPr>
      <w:rFonts w:ascii="Arial" w:hAnsi="Arial" w:eastAsia="Arial" w:cs="Arial"/>
      <w:b/>
      <w:sz w:val="22"/>
      <w:szCs w:val="22"/>
      <w:lang w:val="uk-UA"/>
    </w:rPr>
  </w:style>
  <w:style w:type="paragraph" w:styleId="7">
    <w:name w:val="heading 6"/>
    <w:next w:val="1"/>
    <w:qFormat/>
    <w:uiPriority w:val="0"/>
    <w:pPr>
      <w:keepNext/>
      <w:keepLines/>
      <w:pageBreakBefore w:val="0"/>
      <w:widowControl w:val="0"/>
      <w:spacing w:before="200" w:after="40"/>
    </w:pPr>
    <w:rPr>
      <w:rFonts w:ascii="Arial" w:hAnsi="Arial" w:eastAsia="Arial" w:cs="Arial"/>
      <w:b/>
      <w:sz w:val="20"/>
      <w:szCs w:val="20"/>
      <w:lang w:val="uk-U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1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Body Text"/>
    <w:basedOn w:val="1"/>
    <w:qFormat/>
    <w:uiPriority w:val="1"/>
    <w:pPr>
      <w:ind w:left="1564"/>
    </w:pPr>
    <w:rPr>
      <w:sz w:val="24"/>
      <w:szCs w:val="24"/>
    </w:rPr>
  </w:style>
  <w:style w:type="paragraph" w:styleId="12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13">
    <w:name w:val="Strong"/>
    <w:basedOn w:val="8"/>
    <w:qFormat/>
    <w:uiPriority w:val="22"/>
    <w:rPr>
      <w:b/>
      <w:bCs/>
    </w:rPr>
  </w:style>
  <w:style w:type="paragraph" w:styleId="14">
    <w:name w:val="Subtitle"/>
    <w:next w:val="1"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  <w:lang w:val="uk-UA"/>
    </w:rPr>
  </w:style>
  <w:style w:type="table" w:styleId="15">
    <w:name w:val="Table Grid"/>
    <w:basedOn w:val="9"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next w:val="1"/>
    <w:qFormat/>
    <w:uiPriority w:val="0"/>
    <w:pPr>
      <w:keepNext/>
      <w:keepLines/>
      <w:pageBreakBefore w:val="0"/>
      <w:widowControl w:val="0"/>
      <w:spacing w:before="480" w:after="120"/>
    </w:pPr>
    <w:rPr>
      <w:rFonts w:ascii="Arial" w:hAnsi="Arial" w:eastAsia="Arial" w:cs="Arial"/>
      <w:b/>
      <w:sz w:val="72"/>
      <w:szCs w:val="72"/>
      <w:lang w:val="uk-UA"/>
    </w:rPr>
  </w:style>
  <w:style w:type="table" w:customStyle="1" w:styleId="17">
    <w:name w:val="Table Normal1"/>
    <w:uiPriority w:val="0"/>
  </w:style>
  <w:style w:type="table" w:customStyle="1" w:styleId="18">
    <w:name w:val="Table Normal2"/>
    <w:qFormat/>
    <w:uiPriority w:val="0"/>
  </w:style>
  <w:style w:type="table" w:customStyle="1" w:styleId="19">
    <w:name w:val="Table Normal3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1564" w:hanging="361"/>
    </w:pPr>
  </w:style>
  <w:style w:type="paragraph" w:customStyle="1" w:styleId="21">
    <w:name w:val="Table Paragraph"/>
    <w:basedOn w:val="1"/>
    <w:qFormat/>
    <w:uiPriority w:val="1"/>
    <w:pPr>
      <w:ind w:left="57"/>
    </w:pPr>
  </w:style>
  <w:style w:type="paragraph" w:customStyle="1" w:styleId="22">
    <w:name w:val="basic"/>
    <w:basedOn w:val="1"/>
    <w:qFormat/>
    <w:uiPriority w:val="0"/>
    <w:pPr>
      <w:widowControl/>
      <w:adjustRightInd w:val="0"/>
      <w:spacing w:line="288" w:lineRule="auto"/>
      <w:ind w:firstLine="283"/>
      <w:jc w:val="both"/>
    </w:pPr>
    <w:rPr>
      <w:rFonts w:ascii="PetersburgC" w:hAnsi="PetersburgC" w:eastAsia="Times New Roman" w:cs="PetersburgC"/>
      <w:color w:val="000000"/>
      <w:sz w:val="20"/>
      <w:szCs w:val="20"/>
      <w:lang w:eastAsia="en-US" w:bidi="ar-SA"/>
    </w:rPr>
  </w:style>
  <w:style w:type="paragraph" w:customStyle="1" w:styleId="23">
    <w:name w:val="basic table"/>
    <w:basedOn w:val="1"/>
    <w:qFormat/>
    <w:uiPriority w:val="0"/>
    <w:pPr>
      <w:widowControl/>
      <w:adjustRightInd w:val="0"/>
      <w:spacing w:line="288" w:lineRule="auto"/>
      <w:jc w:val="both"/>
    </w:pPr>
    <w:rPr>
      <w:rFonts w:ascii="PetersburgC" w:hAnsi="PetersburgC" w:eastAsia="Times New Roman" w:cs="PetersburgC"/>
      <w:color w:val="000000"/>
      <w:sz w:val="20"/>
      <w:szCs w:val="20"/>
      <w:lang w:eastAsia="en-US" w:bidi="ar-SA"/>
    </w:rPr>
  </w:style>
  <w:style w:type="character" w:customStyle="1" w:styleId="24">
    <w:name w:val="basic1"/>
    <w:qFormat/>
    <w:uiPriority w:val="0"/>
    <w:rPr>
      <w:rFonts w:hint="default" w:ascii="PetersburgC" w:hAnsi="PetersburgC"/>
      <w:sz w:val="20"/>
    </w:rPr>
  </w:style>
  <w:style w:type="character" w:customStyle="1" w:styleId="25">
    <w:name w:val="basic_table"/>
    <w:qFormat/>
    <w:uiPriority w:val="0"/>
    <w:rPr>
      <w:rFonts w:hint="default" w:ascii="HeliosCond" w:hAnsi="HeliosCond"/>
      <w:spacing w:val="0"/>
      <w:sz w:val="16"/>
    </w:rPr>
  </w:style>
  <w:style w:type="character" w:customStyle="1" w:styleId="26">
    <w:name w:val="Основной текст (2)"/>
    <w:basedOn w:val="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7">
    <w:name w:val="Основной текст (2) + 13 pt;Полужирный"/>
    <w:basedOn w:val="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Подпись к таблице_"/>
    <w:basedOn w:val="8"/>
    <w:link w:val="29"/>
    <w:uiPriority w:val="0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29">
    <w:name w:val="Подпись к таблице"/>
    <w:basedOn w:val="1"/>
    <w:link w:val="28"/>
    <w:qFormat/>
    <w:uiPriority w:val="0"/>
    <w:pPr>
      <w:shd w:val="clear" w:color="auto" w:fill="FFFFFF"/>
      <w:autoSpaceDE/>
      <w:autoSpaceDN/>
      <w:spacing w:line="288" w:lineRule="exact"/>
      <w:ind w:firstLine="740"/>
      <w:jc w:val="both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type="paragraph" w:customStyle="1" w:styleId="30">
    <w:name w:val="Default"/>
    <w:uiPriority w:val="0"/>
    <w:pPr>
      <w:widowControl/>
      <w:adjustRightInd w:val="0"/>
    </w:pPr>
    <w:rPr>
      <w:rFonts w:ascii="Times New Roman" w:hAnsi="Times New Roman" w:eastAsia="Arial" w:cs="Times New Roman"/>
      <w:color w:val="000000"/>
      <w:sz w:val="24"/>
      <w:szCs w:val="24"/>
      <w:lang w:val="ru-RU"/>
    </w:rPr>
  </w:style>
  <w:style w:type="character" w:customStyle="1" w:styleId="31">
    <w:name w:val="Текст выноски Знак"/>
    <w:basedOn w:val="8"/>
    <w:link w:val="10"/>
    <w:semiHidden/>
    <w:uiPriority w:val="99"/>
    <w:rPr>
      <w:rFonts w:ascii="Tahoma" w:hAnsi="Tahoma" w:eastAsia="Arial" w:cs="Tahoma"/>
      <w:sz w:val="16"/>
      <w:szCs w:val="16"/>
      <w:lang w:val="uk-UA" w:eastAsia="uk-UA" w:bidi="uk-UA"/>
    </w:rPr>
  </w:style>
  <w:style w:type="table" w:customStyle="1" w:styleId="32">
    <w:name w:val="_Style 41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_Style 4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U5XqpEobSR8i54+NIpey97BdA==">CgMxLjA4AHIhMTV2V0ZYVUk0QUEwb2EtYnM0b1FTSExjaERnNks1ZW5t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2022-07-06T18:55:00Z</dcterms:created>
  <dc:creator>Юзер</dc:creator>
  <cp:lastModifiedBy>Administrator</cp:lastModifiedBy>
  <dcterms:modified xsi:type="dcterms:W3CDTF">2024-03-12T09:35:41Z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2020-08-27T00:00:00Z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79CB41EBEC4B402AA8C966D3C8B06D9E_13</vt:lpwstr>
  </property>
</Properties>
</file>